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1C1917"/>
          <w:sz w:val="44"/>
          <w:szCs w:val="44"/>
        </w:rPr>
        <w:t xml:space="preserve">Social media management agreement</w:t>
      </w:r>
    </w:p>
    <w:p>
      <w:pPr>
        <w:spacing w:after="120"/>
        <w:rPr>
          <w:color w:val="78716C"/>
        </w:rPr>
      </w:pPr>
      <w:r>
        <w:rPr>
          <w:rFonts w:ascii="Arial" w:cs="Arial" w:eastAsia="Arial" w:hAnsi="Arial"/>
          <w:color w:val="78716C"/>
          <w:sz w:val="21"/>
          <w:szCs w:val="21"/>
        </w:rPr>
        <w:t xml:space="preserve">Between [Manager: your name or agency] and [Client: business name] · Dated [Date]</w:t>
      </w:r>
    </w:p>
    <w:p>
      <w:pPr>
        <w:spacing w:after="160"/>
      </w:pPr>
      <w:r>
        <w:rPr>
          <w:rFonts w:ascii="Arial" w:cs="Arial" w:eastAsia="Arial" w:hAnsi="Arial"/>
          <w:i/>
          <w:iCs/>
          <w:color w:val="78716C"/>
          <w:sz w:val="19"/>
          <w:szCs w:val="19"/>
        </w:rPr>
        <w:t xml:space="preserve">[How to use this template: replace everything in square brackets, delete the grey notes, and cut any clause that doesn't apply. This is a starting structure, not legal advice. Contract law differs between countries and states, so have a lawyer where you work review it before anyone signs. Free template from kadenzo.app.]</w:t>
      </w:r>
    </w:p>
    <w:p>
      <w:pPr>
        <w:pStyle w:val="Heading1"/>
        <w:keepNext/>
        <w:spacing w:after="140" w:before="320"/>
      </w:pPr>
      <w:r>
        <w:rPr>
          <w:rFonts w:ascii="Arial" w:cs="Arial" w:eastAsia="Arial" w:hAnsi="Arial"/>
          <w:b/>
          <w:bCs/>
          <w:color w:val="991B1B"/>
          <w:sz w:val="26"/>
          <w:szCs w:val="26"/>
        </w:rPr>
        <w:t xml:space="preserve">1. Parties and term</w:t>
      </w:r>
    </w:p>
    <w:p>
      <w:pPr>
        <w:spacing w:after="120"/>
        <w:ind w:left="0"/>
      </w:pPr>
      <w:r>
        <w:rPr>
          <w:rFonts w:ascii="Arial" w:cs="Arial" w:eastAsia="Arial" w:hAnsi="Arial"/>
          <w:b/>
          <w:bCs/>
          <w:sz w:val="21"/>
          <w:szCs w:val="21"/>
        </w:rPr>
        <w:t xml:space="preserve">1.1  </w:t>
      </w:r>
      <w:r>
        <w:rPr>
          <w:rFonts w:ascii="Arial" w:cs="Arial" w:eastAsia="Arial" w:hAnsi="Arial"/>
          <w:sz w:val="21"/>
          <w:szCs w:val="21"/>
        </w:rPr>
        <w:t xml:space="preserve">This agreement is between [Manager legal name], [address] (the "Manager"), and [Client legal name], [address] (the "Client").</w:t>
      </w:r>
    </w:p>
    <w:p>
      <w:pPr>
        <w:spacing w:after="120"/>
        <w:ind w:left="0"/>
      </w:pPr>
      <w:r>
        <w:rPr>
          <w:rFonts w:ascii="Arial" w:cs="Arial" w:eastAsia="Arial" w:hAnsi="Arial"/>
          <w:b/>
          <w:bCs/>
          <w:sz w:val="21"/>
          <w:szCs w:val="21"/>
        </w:rPr>
        <w:t xml:space="preserve">1.2  </w:t>
      </w:r>
      <w:r>
        <w:rPr>
          <w:rFonts w:ascii="Arial" w:cs="Arial" w:eastAsia="Arial" w:hAnsi="Arial"/>
          <w:sz w:val="21"/>
          <w:szCs w:val="21"/>
        </w:rPr>
        <w:t xml:space="preserve">It starts on [start date] and runs for an initial term of [3] months. After that it continues month to month until either party ends it under clause 8.</w:t>
      </w:r>
    </w:p>
    <w:p>
      <w:pPr>
        <w:pStyle w:val="Heading1"/>
        <w:keepNext/>
        <w:spacing w:after="140" w:before="320"/>
      </w:pPr>
      <w:r>
        <w:rPr>
          <w:rFonts w:ascii="Arial" w:cs="Arial" w:eastAsia="Arial" w:hAnsi="Arial"/>
          <w:b/>
          <w:bCs/>
          <w:color w:val="991B1B"/>
          <w:sz w:val="26"/>
          <w:szCs w:val="26"/>
        </w:rPr>
        <w:t xml:space="preserve">2. Services</w:t>
      </w:r>
    </w:p>
    <w:p>
      <w:pPr>
        <w:spacing w:after="120"/>
        <w:ind w:left="0"/>
      </w:pPr>
      <w:r>
        <w:rPr>
          <w:rFonts w:ascii="Arial" w:cs="Arial" w:eastAsia="Arial" w:hAnsi="Arial"/>
          <w:b/>
          <w:bCs/>
          <w:sz w:val="21"/>
          <w:szCs w:val="21"/>
        </w:rPr>
        <w:t xml:space="preserve">2.1  </w:t>
      </w:r>
      <w:r>
        <w:rPr>
          <w:rFonts w:ascii="Arial" w:cs="Arial" w:eastAsia="Arial" w:hAnsi="Arial"/>
          <w:sz w:val="21"/>
          <w:szCs w:val="21"/>
        </w:rPr>
        <w:t xml:space="preserve">The Manager will provide the services and deliverables listed in Exhibit A (the "Scope"), on the platforms listed there.</w:t>
      </w:r>
    </w:p>
    <w:p>
      <w:pPr>
        <w:spacing w:after="120"/>
        <w:ind w:left="0"/>
      </w:pPr>
      <w:r>
        <w:rPr>
          <w:rFonts w:ascii="Arial" w:cs="Arial" w:eastAsia="Arial" w:hAnsi="Arial"/>
          <w:b/>
          <w:bCs/>
          <w:sz w:val="21"/>
          <w:szCs w:val="21"/>
        </w:rPr>
        <w:t xml:space="preserve">2.2  </w:t>
      </w:r>
      <w:r>
        <w:rPr>
          <w:rFonts w:ascii="Arial" w:cs="Arial" w:eastAsia="Arial" w:hAnsi="Arial"/>
          <w:sz w:val="21"/>
          <w:szCs w:val="21"/>
        </w:rPr>
        <w:t xml:space="preserve">Exhibit A counts every deliverable: how many, on which platform, how often, and how many revision rounds. Anything not listed there is outside the Scope.</w:t>
      </w:r>
    </w:p>
    <w:p>
      <w:pPr>
        <w:spacing w:after="160"/>
      </w:pPr>
      <w:r>
        <w:rPr>
          <w:rFonts w:ascii="Arial" w:cs="Arial" w:eastAsia="Arial" w:hAnsi="Arial"/>
          <w:i/>
          <w:iCs/>
          <w:color w:val="78716C"/>
          <w:sz w:val="19"/>
          <w:szCs w:val="19"/>
        </w:rPr>
        <w:t xml:space="preserve">[Quantify everything. 'Regular posting' and 'manage our social media' are not a scope. 'Twelve feed posts and eight Stories a month on Instagram and Facebook, two revision rounds per post' is.]</w:t>
      </w:r>
    </w:p>
    <w:p>
      <w:pPr>
        <w:pStyle w:val="Heading1"/>
        <w:keepNext/>
        <w:spacing w:after="140" w:before="320"/>
      </w:pPr>
      <w:r>
        <w:rPr>
          <w:rFonts w:ascii="Arial" w:cs="Arial" w:eastAsia="Arial" w:hAnsi="Arial"/>
          <w:b/>
          <w:bCs/>
          <w:color w:val="991B1B"/>
          <w:sz w:val="26"/>
          <w:szCs w:val="26"/>
        </w:rPr>
        <w:t xml:space="preserve">3. Additional work</w:t>
      </w:r>
    </w:p>
    <w:p>
      <w:pPr>
        <w:spacing w:after="120"/>
        <w:ind w:left="0"/>
      </w:pPr>
      <w:r>
        <w:rPr>
          <w:rFonts w:ascii="Arial" w:cs="Arial" w:eastAsia="Arial" w:hAnsi="Arial"/>
          <w:b/>
          <w:bCs/>
          <w:sz w:val="21"/>
          <w:szCs w:val="21"/>
        </w:rPr>
        <w:t xml:space="preserve">3.1  </w:t>
      </w:r>
      <w:r>
        <w:rPr>
          <w:rFonts w:ascii="Arial" w:cs="Arial" w:eastAsia="Arial" w:hAnsi="Arial"/>
          <w:sz w:val="21"/>
          <w:szCs w:val="21"/>
        </w:rPr>
        <w:t xml:space="preserve">Work requested beyond the Scope (including additional platforms, additional posts, ad campaign management, community management outside the stated hours, or a third revision round) is additional work.</w:t>
      </w:r>
    </w:p>
    <w:p>
      <w:pPr>
        <w:spacing w:after="120"/>
        <w:ind w:left="0"/>
      </w:pPr>
      <w:r>
        <w:rPr>
          <w:rFonts w:ascii="Arial" w:cs="Arial" w:eastAsia="Arial" w:hAnsi="Arial"/>
          <w:b/>
          <w:bCs/>
          <w:sz w:val="21"/>
          <w:szCs w:val="21"/>
        </w:rPr>
        <w:t xml:space="preserve">3.2  </w:t>
      </w:r>
      <w:r>
        <w:rPr>
          <w:rFonts w:ascii="Arial" w:cs="Arial" w:eastAsia="Arial" w:hAnsi="Arial"/>
          <w:sz w:val="21"/>
          <w:szCs w:val="21"/>
        </w:rPr>
        <w:t xml:space="preserve">The Manager will flag any request that counts as additional work in writing and send a quote before starting it. Additional work begins only after the Client approves the quote in writing (email is enough).</w:t>
      </w:r>
    </w:p>
    <w:p>
      <w:pPr>
        <w:spacing w:after="120"/>
        <w:ind w:left="0"/>
      </w:pPr>
      <w:r>
        <w:rPr>
          <w:rFonts w:ascii="Arial" w:cs="Arial" w:eastAsia="Arial" w:hAnsi="Arial"/>
          <w:b/>
          <w:bCs/>
          <w:sz w:val="21"/>
          <w:szCs w:val="21"/>
        </w:rPr>
        <w:t xml:space="preserve">3.3  </w:t>
      </w:r>
      <w:r>
        <w:rPr>
          <w:rFonts w:ascii="Arial" w:cs="Arial" w:eastAsia="Arial" w:hAnsi="Arial"/>
          <w:sz w:val="21"/>
          <w:szCs w:val="21"/>
        </w:rPr>
        <w:t xml:space="preserve">Approved additional work is billed at [amount] per hour or at the agreed project fee, on the next invoice.</w:t>
      </w:r>
    </w:p>
    <w:p>
      <w:pPr>
        <w:spacing w:after="160"/>
      </w:pPr>
      <w:r>
        <w:rPr>
          <w:rFonts w:ascii="Arial" w:cs="Arial" w:eastAsia="Arial" w:hAnsi="Arial"/>
          <w:i/>
          <w:iCs/>
          <w:color w:val="78716C"/>
          <w:sz w:val="19"/>
          <w:szCs w:val="19"/>
        </w:rPr>
        <w:t xml:space="preserve">[This flag-and-quote step is the clause that protects the relationship: the Client never gets a surprise invoice, and you never do unpaid work to stay polite.]</w:t>
      </w:r>
    </w:p>
    <w:p>
      <w:pPr>
        <w:pStyle w:val="Heading1"/>
        <w:keepNext/>
        <w:spacing w:after="140" w:before="320"/>
      </w:pPr>
      <w:r>
        <w:rPr>
          <w:rFonts w:ascii="Arial" w:cs="Arial" w:eastAsia="Arial" w:hAnsi="Arial"/>
          <w:b/>
          <w:bCs/>
          <w:color w:val="991B1B"/>
          <w:sz w:val="26"/>
          <w:szCs w:val="26"/>
        </w:rPr>
        <w:t xml:space="preserve">4. Approvals and the Client's part</w:t>
      </w:r>
    </w:p>
    <w:p>
      <w:pPr>
        <w:spacing w:after="120"/>
        <w:ind w:left="0"/>
      </w:pPr>
      <w:r>
        <w:rPr>
          <w:rFonts w:ascii="Arial" w:cs="Arial" w:eastAsia="Arial" w:hAnsi="Arial"/>
          <w:b/>
          <w:bCs/>
          <w:sz w:val="21"/>
          <w:szCs w:val="21"/>
        </w:rPr>
        <w:t xml:space="preserve">4.1  </w:t>
      </w:r>
      <w:r>
        <w:rPr>
          <w:rFonts w:ascii="Arial" w:cs="Arial" w:eastAsia="Arial" w:hAnsi="Arial"/>
          <w:sz w:val="21"/>
          <w:szCs w:val="21"/>
        </w:rPr>
        <w:t xml:space="preserve">The Manager will share each [week's / month's] content for approval by [day and time]. The Client will approve or request changes by [day and time].</w:t>
      </w:r>
    </w:p>
    <w:p>
      <w:pPr>
        <w:spacing w:after="120"/>
        <w:ind w:left="0"/>
      </w:pPr>
      <w:r>
        <w:rPr>
          <w:rFonts w:ascii="Arial" w:cs="Arial" w:eastAsia="Arial" w:hAnsi="Arial"/>
          <w:b/>
          <w:bCs/>
          <w:sz w:val="21"/>
          <w:szCs w:val="21"/>
        </w:rPr>
        <w:t xml:space="preserve">4.2  </w:t>
      </w:r>
      <w:r>
        <w:rPr>
          <w:rFonts w:ascii="Arial" w:cs="Arial" w:eastAsia="Arial" w:hAnsi="Arial"/>
          <w:sz w:val="21"/>
          <w:szCs w:val="21"/>
        </w:rPr>
        <w:t xml:space="preserve">If the Client hasn't responded by that deadline, [the affected posts will be held and rescheduled / the content counts as approved and will be published as planned]. Missed approvals don't extend the Scope or reduce the fee.</w:t>
      </w:r>
    </w:p>
    <w:p>
      <w:pPr>
        <w:spacing w:after="160"/>
      </w:pPr>
      <w:r>
        <w:rPr>
          <w:rFonts w:ascii="Arial" w:cs="Arial" w:eastAsia="Arial" w:hAnsi="Arial"/>
          <w:i/>
          <w:iCs/>
          <w:color w:val="78716C"/>
          <w:sz w:val="19"/>
          <w:szCs w:val="19"/>
        </w:rPr>
        <w:t xml:space="preserve">[Pick one option in 4.2 and delete the other. Agreeing in advance what happens to unanswered approvals ends the chasing.]</w:t>
      </w:r>
    </w:p>
    <w:p>
      <w:pPr>
        <w:spacing w:after="120"/>
        <w:ind w:left="0"/>
      </w:pPr>
      <w:r>
        <w:rPr>
          <w:rFonts w:ascii="Arial" w:cs="Arial" w:eastAsia="Arial" w:hAnsi="Arial"/>
          <w:b/>
          <w:bCs/>
          <w:sz w:val="21"/>
          <w:szCs w:val="21"/>
        </w:rPr>
        <w:t xml:space="preserve">4.3  </w:t>
      </w:r>
      <w:r>
        <w:rPr>
          <w:rFonts w:ascii="Arial" w:cs="Arial" w:eastAsia="Arial" w:hAnsi="Arial"/>
          <w:sz w:val="21"/>
          <w:szCs w:val="21"/>
        </w:rPr>
        <w:t xml:space="preserve">The Client will give the Manager the account access, brand assets, product information and answers the work needs, and confirms it has the right to use any material it supplies (photos, music, logos, testimonials).</w:t>
      </w:r>
    </w:p>
    <w:p>
      <w:pPr>
        <w:spacing w:after="120"/>
        <w:ind w:left="0"/>
      </w:pPr>
      <w:r>
        <w:rPr>
          <w:rFonts w:ascii="Arial" w:cs="Arial" w:eastAsia="Arial" w:hAnsi="Arial"/>
          <w:b/>
          <w:bCs/>
          <w:sz w:val="21"/>
          <w:szCs w:val="21"/>
        </w:rPr>
        <w:t xml:space="preserve">4.4  </w:t>
      </w:r>
      <w:r>
        <w:rPr>
          <w:rFonts w:ascii="Arial" w:cs="Arial" w:eastAsia="Arial" w:hAnsi="Arial"/>
          <w:sz w:val="21"/>
          <w:szCs w:val="21"/>
        </w:rPr>
        <w:t xml:space="preserve">The Client is responsible for the accuracy of facts, prices, offers and legal claims it asks the Manager to publish.</w:t>
      </w:r>
    </w:p>
    <w:p>
      <w:pPr>
        <w:pStyle w:val="Heading1"/>
        <w:keepNext/>
        <w:spacing w:after="140" w:before="320"/>
      </w:pPr>
      <w:r>
        <w:rPr>
          <w:rFonts w:ascii="Arial" w:cs="Arial" w:eastAsia="Arial" w:hAnsi="Arial"/>
          <w:b/>
          <w:bCs/>
          <w:color w:val="991B1B"/>
          <w:sz w:val="26"/>
          <w:szCs w:val="26"/>
        </w:rPr>
        <w:t xml:space="preserve">5. Fees and payment</w:t>
      </w:r>
    </w:p>
    <w:p>
      <w:pPr>
        <w:spacing w:after="120"/>
        <w:ind w:left="0"/>
      </w:pPr>
      <w:r>
        <w:rPr>
          <w:rFonts w:ascii="Arial" w:cs="Arial" w:eastAsia="Arial" w:hAnsi="Arial"/>
          <w:b/>
          <w:bCs/>
          <w:sz w:val="21"/>
          <w:szCs w:val="21"/>
        </w:rPr>
        <w:t xml:space="preserve">5.1  </w:t>
      </w:r>
      <w:r>
        <w:rPr>
          <w:rFonts w:ascii="Arial" w:cs="Arial" w:eastAsia="Arial" w:hAnsi="Arial"/>
          <w:sz w:val="21"/>
          <w:szCs w:val="21"/>
        </w:rPr>
        <w:t xml:space="preserve">The monthly fee is [amount + currency], invoiced on the [1st] of each month in advance and due [on receipt / within 15 days].</w:t>
      </w:r>
    </w:p>
    <w:p>
      <w:pPr>
        <w:spacing w:after="120"/>
        <w:ind w:left="0"/>
      </w:pPr>
      <w:r>
        <w:rPr>
          <w:rFonts w:ascii="Arial" w:cs="Arial" w:eastAsia="Arial" w:hAnsi="Arial"/>
          <w:b/>
          <w:bCs/>
          <w:sz w:val="21"/>
          <w:szCs w:val="21"/>
        </w:rPr>
        <w:t xml:space="preserve">5.2  </w:t>
      </w:r>
      <w:r>
        <w:rPr>
          <w:rFonts w:ascii="Arial" w:cs="Arial" w:eastAsia="Arial" w:hAnsi="Arial"/>
          <w:sz w:val="21"/>
          <w:szCs w:val="21"/>
        </w:rPr>
        <w:t xml:space="preserve">The first month's fee is due before work starts and is not refundable once onboarding has begun.</w:t>
      </w:r>
    </w:p>
    <w:p>
      <w:pPr>
        <w:spacing w:after="120"/>
        <w:ind w:left="0"/>
      </w:pPr>
      <w:r>
        <w:rPr>
          <w:rFonts w:ascii="Arial" w:cs="Arial" w:eastAsia="Arial" w:hAnsi="Arial"/>
          <w:b/>
          <w:bCs/>
          <w:sz w:val="21"/>
          <w:szCs w:val="21"/>
        </w:rPr>
        <w:t xml:space="preserve">5.3  </w:t>
      </w:r>
      <w:r>
        <w:rPr>
          <w:rFonts w:ascii="Arial" w:cs="Arial" w:eastAsia="Arial" w:hAnsi="Arial"/>
          <w:sz w:val="21"/>
          <w:szCs w:val="21"/>
        </w:rPr>
        <w:t xml:space="preserve">Advertising spend, paid tools, stock content, freelancers and other third-party costs are not included unless Exhibit A says so. They are paid by the Client directly or reimbursed at cost with prior written approval.</w:t>
      </w:r>
    </w:p>
    <w:p>
      <w:pPr>
        <w:spacing w:after="120"/>
        <w:ind w:left="0"/>
      </w:pPr>
      <w:r>
        <w:rPr>
          <w:rFonts w:ascii="Arial" w:cs="Arial" w:eastAsia="Arial" w:hAnsi="Arial"/>
          <w:b/>
          <w:bCs/>
          <w:sz w:val="21"/>
          <w:szCs w:val="21"/>
        </w:rPr>
        <w:t xml:space="preserve">5.4  </w:t>
      </w:r>
      <w:r>
        <w:rPr>
          <w:rFonts w:ascii="Arial" w:cs="Arial" w:eastAsia="Arial" w:hAnsi="Arial"/>
          <w:sz w:val="21"/>
          <w:szCs w:val="21"/>
        </w:rPr>
        <w:t xml:space="preserve">Invoices unpaid [14] days after the due date incur a late fee of [amount or %], or the maximum the law allows if that is lower.</w:t>
      </w:r>
    </w:p>
    <w:p>
      <w:pPr>
        <w:spacing w:after="120"/>
        <w:ind w:left="0"/>
      </w:pPr>
      <w:r>
        <w:rPr>
          <w:rFonts w:ascii="Arial" w:cs="Arial" w:eastAsia="Arial" w:hAnsi="Arial"/>
          <w:b/>
          <w:bCs/>
          <w:sz w:val="21"/>
          <w:szCs w:val="21"/>
        </w:rPr>
        <w:t xml:space="preserve">5.5  </w:t>
      </w:r>
      <w:r>
        <w:rPr>
          <w:rFonts w:ascii="Arial" w:cs="Arial" w:eastAsia="Arial" w:hAnsi="Arial"/>
          <w:sz w:val="21"/>
          <w:szCs w:val="21"/>
        </w:rPr>
        <w:t xml:space="preserve">If an invoice is more than [14] days overdue, the Manager may pause all work, including scheduled posts, after giving written notice. Work restarts once the account is paid up. Paused time doesn't extend the term or reduce the fee.</w:t>
      </w:r>
    </w:p>
    <w:p>
      <w:pPr>
        <w:pStyle w:val="Heading1"/>
        <w:keepNext/>
        <w:spacing w:after="140" w:before="320"/>
      </w:pPr>
      <w:r>
        <w:rPr>
          <w:rFonts w:ascii="Arial" w:cs="Arial" w:eastAsia="Arial" w:hAnsi="Arial"/>
          <w:b/>
          <w:bCs/>
          <w:color w:val="991B1B"/>
          <w:sz w:val="26"/>
          <w:szCs w:val="26"/>
        </w:rPr>
        <w:t xml:space="preserve">6. Ownership</w:t>
      </w:r>
    </w:p>
    <w:p>
      <w:pPr>
        <w:spacing w:after="120"/>
        <w:ind w:left="0"/>
      </w:pPr>
      <w:r>
        <w:rPr>
          <w:rFonts w:ascii="Arial" w:cs="Arial" w:eastAsia="Arial" w:hAnsi="Arial"/>
          <w:b/>
          <w:bCs/>
          <w:sz w:val="21"/>
          <w:szCs w:val="21"/>
        </w:rPr>
        <w:t xml:space="preserve">6.1  </w:t>
      </w:r>
      <w:r>
        <w:rPr>
          <w:rFonts w:ascii="Arial" w:cs="Arial" w:eastAsia="Arial" w:hAnsi="Arial"/>
          <w:sz w:val="21"/>
          <w:szCs w:val="21"/>
        </w:rPr>
        <w:t xml:space="preserve">Accounts. The Client owns its social media accounts, pages and profiles, and their followers and data. The Manager holds access only to deliver the Scope.</w:t>
      </w:r>
    </w:p>
    <w:p>
      <w:pPr>
        <w:spacing w:after="120"/>
        <w:ind w:left="0"/>
      </w:pPr>
      <w:r>
        <w:rPr>
          <w:rFonts w:ascii="Arial" w:cs="Arial" w:eastAsia="Arial" w:hAnsi="Arial"/>
          <w:b/>
          <w:bCs/>
          <w:sz w:val="21"/>
          <w:szCs w:val="21"/>
        </w:rPr>
        <w:t xml:space="preserve">6.2  </w:t>
      </w:r>
      <w:r>
        <w:rPr>
          <w:rFonts w:ascii="Arial" w:cs="Arial" w:eastAsia="Arial" w:hAnsi="Arial"/>
          <w:sz w:val="21"/>
          <w:szCs w:val="21"/>
        </w:rPr>
        <w:t xml:space="preserve">Deliverables. Final posts, captions, graphics and videos created specifically for the Client become the Client's property once the invoice covering them is paid in full. Until then, they remain the Manager's.</w:t>
      </w:r>
    </w:p>
    <w:p>
      <w:pPr>
        <w:spacing w:after="120"/>
        <w:ind w:left="0"/>
      </w:pPr>
      <w:r>
        <w:rPr>
          <w:rFonts w:ascii="Arial" w:cs="Arial" w:eastAsia="Arial" w:hAnsi="Arial"/>
          <w:b/>
          <w:bCs/>
          <w:sz w:val="21"/>
          <w:szCs w:val="21"/>
        </w:rPr>
        <w:t xml:space="preserve">6.3  </w:t>
      </w:r>
      <w:r>
        <w:rPr>
          <w:rFonts w:ascii="Arial" w:cs="Arial" w:eastAsia="Arial" w:hAnsi="Arial"/>
          <w:sz w:val="21"/>
          <w:szCs w:val="21"/>
        </w:rPr>
        <w:t xml:space="preserve">The Manager's tools. The Manager keeps ownership of its methods, processes, templates, frameworks and other reusable materials, including any used to make the deliverables. The Client gets a non-exclusive licence to use them for its own business while this agreement runs [and afterwards], but not to resell or share them.</w:t>
      </w:r>
    </w:p>
    <w:p>
      <w:pPr>
        <w:spacing w:after="120"/>
        <w:ind w:left="0"/>
      </w:pPr>
      <w:r>
        <w:rPr>
          <w:rFonts w:ascii="Arial" w:cs="Arial" w:eastAsia="Arial" w:hAnsi="Arial"/>
          <w:b/>
          <w:bCs/>
          <w:sz w:val="21"/>
          <w:szCs w:val="21"/>
        </w:rPr>
        <w:t xml:space="preserve">6.4  </w:t>
      </w:r>
      <w:r>
        <w:rPr>
          <w:rFonts w:ascii="Arial" w:cs="Arial" w:eastAsia="Arial" w:hAnsi="Arial"/>
          <w:sz w:val="21"/>
          <w:szCs w:val="21"/>
        </w:rPr>
        <w:t xml:space="preserve">Portfolio. The Manager may show published work in its portfolio and case studies [unless the Client opts out in writing].</w:t>
      </w:r>
    </w:p>
    <w:p>
      <w:pPr>
        <w:spacing w:after="160"/>
      </w:pPr>
      <w:r>
        <w:rPr>
          <w:rFonts w:ascii="Arial" w:cs="Arial" w:eastAsia="Arial" w:hAnsi="Arial"/>
          <w:i/>
          <w:iCs/>
          <w:color w:val="78716C"/>
          <w:sz w:val="19"/>
          <w:szCs w:val="19"/>
        </w:rPr>
        <w:t xml:space="preserve">[6.2 to 6.4 are where saying nothing costs money: without them, a client can assume they own your strategy docs and templates outright.]</w:t>
      </w:r>
    </w:p>
    <w:p>
      <w:pPr>
        <w:pStyle w:val="Heading1"/>
        <w:keepNext/>
        <w:spacing w:after="140" w:before="320"/>
      </w:pPr>
      <w:r>
        <w:rPr>
          <w:rFonts w:ascii="Arial" w:cs="Arial" w:eastAsia="Arial" w:hAnsi="Arial"/>
          <w:b/>
          <w:bCs/>
          <w:color w:val="991B1B"/>
          <w:sz w:val="26"/>
          <w:szCs w:val="26"/>
        </w:rPr>
        <w:t xml:space="preserve">7. Cancelled work (kill fee)</w:t>
      </w:r>
    </w:p>
    <w:p>
      <w:pPr>
        <w:spacing w:after="120"/>
        <w:ind w:left="0"/>
      </w:pPr>
      <w:r>
        <w:rPr>
          <w:rFonts w:ascii="Arial" w:cs="Arial" w:eastAsia="Arial" w:hAnsi="Arial"/>
          <w:b/>
          <w:bCs/>
          <w:sz w:val="21"/>
          <w:szCs w:val="21"/>
        </w:rPr>
        <w:t xml:space="preserve">7.1  </w:t>
      </w:r>
      <w:r>
        <w:rPr>
          <w:rFonts w:ascii="Arial" w:cs="Arial" w:eastAsia="Arial" w:hAnsi="Arial"/>
          <w:sz w:val="21"/>
          <w:szCs w:val="21"/>
        </w:rPr>
        <w:t xml:space="preserve">If the Client cancels work it has already approved and the Manager has started producing, the Client pays a kill fee of [25 to 50]% of the fee for that work, depending on how far it had progressed, plus any third-party costs already committed.</w:t>
      </w:r>
    </w:p>
    <w:p>
      <w:pPr>
        <w:spacing w:after="120"/>
        <w:ind w:left="0"/>
      </w:pPr>
      <w:r>
        <w:rPr>
          <w:rFonts w:ascii="Arial" w:cs="Arial" w:eastAsia="Arial" w:hAnsi="Arial"/>
          <w:b/>
          <w:bCs/>
          <w:sz w:val="21"/>
          <w:szCs w:val="21"/>
        </w:rPr>
        <w:t xml:space="preserve">7.2  </w:t>
      </w:r>
      <w:r>
        <w:rPr>
          <w:rFonts w:ascii="Arial" w:cs="Arial" w:eastAsia="Arial" w:hAnsi="Arial"/>
          <w:sz w:val="21"/>
          <w:szCs w:val="21"/>
        </w:rPr>
        <w:t xml:space="preserve">For the monthly retainer, cancelling individual posts or campaigns does not reduce that month's fee.</w:t>
      </w:r>
    </w:p>
    <w:p>
      <w:pPr>
        <w:pStyle w:val="Heading1"/>
        <w:keepNext/>
        <w:spacing w:after="140" w:before="320"/>
      </w:pPr>
      <w:r>
        <w:rPr>
          <w:rFonts w:ascii="Arial" w:cs="Arial" w:eastAsia="Arial" w:hAnsi="Arial"/>
          <w:b/>
          <w:bCs/>
          <w:color w:val="991B1B"/>
          <w:sz w:val="26"/>
          <w:szCs w:val="26"/>
        </w:rPr>
        <w:t xml:space="preserve">8. Ending the agreement</w:t>
      </w:r>
    </w:p>
    <w:p>
      <w:pPr>
        <w:spacing w:after="120"/>
        <w:ind w:left="0"/>
      </w:pPr>
      <w:r>
        <w:rPr>
          <w:rFonts w:ascii="Arial" w:cs="Arial" w:eastAsia="Arial" w:hAnsi="Arial"/>
          <w:b/>
          <w:bCs/>
          <w:sz w:val="21"/>
          <w:szCs w:val="21"/>
        </w:rPr>
        <w:t xml:space="preserve">8.1  </w:t>
      </w:r>
      <w:r>
        <w:rPr>
          <w:rFonts w:ascii="Arial" w:cs="Arial" w:eastAsia="Arial" w:hAnsi="Arial"/>
          <w:sz w:val="21"/>
          <w:szCs w:val="21"/>
        </w:rPr>
        <w:t xml:space="preserve">After the initial term, either party may end this agreement with [30] days' written notice.</w:t>
      </w:r>
    </w:p>
    <w:p>
      <w:pPr>
        <w:spacing w:after="120"/>
        <w:ind w:left="0"/>
      </w:pPr>
      <w:r>
        <w:rPr>
          <w:rFonts w:ascii="Arial" w:cs="Arial" w:eastAsia="Arial" w:hAnsi="Arial"/>
          <w:b/>
          <w:bCs/>
          <w:sz w:val="21"/>
          <w:szCs w:val="21"/>
        </w:rPr>
        <w:t xml:space="preserve">8.2  </w:t>
      </w:r>
      <w:r>
        <w:rPr>
          <w:rFonts w:ascii="Arial" w:cs="Arial" w:eastAsia="Arial" w:hAnsi="Arial"/>
          <w:sz w:val="21"/>
          <w:szCs w:val="21"/>
        </w:rPr>
        <w:t xml:space="preserve">Fees are due through the end of the notice period, whether or not the Client keeps assigning work, plus any approved additional work.</w:t>
      </w:r>
    </w:p>
    <w:p>
      <w:pPr>
        <w:spacing w:after="120"/>
        <w:ind w:left="0"/>
      </w:pPr>
      <w:r>
        <w:rPr>
          <w:rFonts w:ascii="Arial" w:cs="Arial" w:eastAsia="Arial" w:hAnsi="Arial"/>
          <w:b/>
          <w:bCs/>
          <w:sz w:val="21"/>
          <w:szCs w:val="21"/>
        </w:rPr>
        <w:t xml:space="preserve">8.3  </w:t>
      </w:r>
      <w:r>
        <w:rPr>
          <w:rFonts w:ascii="Arial" w:cs="Arial" w:eastAsia="Arial" w:hAnsi="Arial"/>
          <w:sz w:val="21"/>
          <w:szCs w:val="21"/>
        </w:rPr>
        <w:t xml:space="preserve">Either party may end the agreement immediately in writing if the other seriously breaches it and doesn't fix the breach within [7] days of being told, including non-payment. The Manager may also end it immediately if asked to publish something that breaks the law or a platform's rules.</w:t>
      </w:r>
    </w:p>
    <w:p>
      <w:pPr>
        <w:spacing w:after="120"/>
        <w:ind w:left="0"/>
      </w:pPr>
      <w:r>
        <w:rPr>
          <w:rFonts w:ascii="Arial" w:cs="Arial" w:eastAsia="Arial" w:hAnsi="Arial"/>
          <w:b/>
          <w:bCs/>
          <w:sz w:val="21"/>
          <w:szCs w:val="21"/>
        </w:rPr>
        <w:t xml:space="preserve">8.4  </w:t>
      </w:r>
      <w:r>
        <w:rPr>
          <w:rFonts w:ascii="Arial" w:cs="Arial" w:eastAsia="Arial" w:hAnsi="Arial"/>
          <w:sz w:val="21"/>
          <w:szCs w:val="21"/>
        </w:rPr>
        <w:t xml:space="preserve">Handoff. When the agreement ends, the Manager will hand over paid-for deliverables and any scheduled content, return or remove its access to every Client account, and give the Client a list of the accounts and tools it had access to. The Client will remove the Manager's access to its systems.</w:t>
      </w:r>
    </w:p>
    <w:p>
      <w:pPr>
        <w:pStyle w:val="Heading1"/>
        <w:keepNext/>
        <w:spacing w:after="140" w:before="320"/>
      </w:pPr>
      <w:r>
        <w:rPr>
          <w:rFonts w:ascii="Arial" w:cs="Arial" w:eastAsia="Arial" w:hAnsi="Arial"/>
          <w:b/>
          <w:bCs/>
          <w:color w:val="991B1B"/>
          <w:sz w:val="26"/>
          <w:szCs w:val="26"/>
        </w:rPr>
        <w:t xml:space="preserve">9. Confidentiality</w:t>
      </w:r>
    </w:p>
    <w:p>
      <w:pPr>
        <w:spacing w:after="120"/>
        <w:ind w:left="0"/>
      </w:pPr>
      <w:r>
        <w:rPr>
          <w:rFonts w:ascii="Arial" w:cs="Arial" w:eastAsia="Arial" w:hAnsi="Arial"/>
          <w:b/>
          <w:bCs/>
          <w:sz w:val="21"/>
          <w:szCs w:val="21"/>
        </w:rPr>
        <w:t xml:space="preserve">9.1  </w:t>
      </w:r>
      <w:r>
        <w:rPr>
          <w:rFonts w:ascii="Arial" w:cs="Arial" w:eastAsia="Arial" w:hAnsi="Arial"/>
          <w:sz w:val="21"/>
          <w:szCs w:val="21"/>
        </w:rPr>
        <w:t xml:space="preserve">Each party will keep the other's non-public information (including login details, analytics, plans, pricing and customer data) confidential and use it only for this agreement. This continues after the agreement ends.</w:t>
      </w:r>
    </w:p>
    <w:p>
      <w:pPr>
        <w:spacing w:after="120"/>
        <w:ind w:left="0"/>
      </w:pPr>
      <w:r>
        <w:rPr>
          <w:rFonts w:ascii="Arial" w:cs="Arial" w:eastAsia="Arial" w:hAnsi="Arial"/>
          <w:b/>
          <w:bCs/>
          <w:sz w:val="21"/>
          <w:szCs w:val="21"/>
        </w:rPr>
        <w:t xml:space="preserve">9.2  </w:t>
      </w:r>
      <w:r>
        <w:rPr>
          <w:rFonts w:ascii="Arial" w:cs="Arial" w:eastAsia="Arial" w:hAnsi="Arial"/>
          <w:sz w:val="21"/>
          <w:szCs w:val="21"/>
        </w:rPr>
        <w:t xml:space="preserve">The Manager will store account passwords in a password manager, use two-factor authentication where platforms offer it, and not share access with anyone not working on the account.</w:t>
      </w:r>
    </w:p>
    <w:p>
      <w:pPr>
        <w:pStyle w:val="Heading1"/>
        <w:keepNext/>
        <w:spacing w:after="140" w:before="320"/>
      </w:pPr>
      <w:r>
        <w:rPr>
          <w:rFonts w:ascii="Arial" w:cs="Arial" w:eastAsia="Arial" w:hAnsi="Arial"/>
          <w:b/>
          <w:bCs/>
          <w:color w:val="991B1B"/>
          <w:sz w:val="26"/>
          <w:szCs w:val="26"/>
        </w:rPr>
        <w:t xml:space="preserve">10. Results and platforms</w:t>
      </w:r>
    </w:p>
    <w:p>
      <w:pPr>
        <w:spacing w:after="120"/>
        <w:ind w:left="0"/>
      </w:pPr>
      <w:r>
        <w:rPr>
          <w:rFonts w:ascii="Arial" w:cs="Arial" w:eastAsia="Arial" w:hAnsi="Arial"/>
          <w:b/>
          <w:bCs/>
          <w:sz w:val="21"/>
          <w:szCs w:val="21"/>
        </w:rPr>
        <w:t xml:space="preserve">10.1  </w:t>
      </w:r>
      <w:r>
        <w:rPr>
          <w:rFonts w:ascii="Arial" w:cs="Arial" w:eastAsia="Arial" w:hAnsi="Arial"/>
          <w:sz w:val="21"/>
          <w:szCs w:val="21"/>
        </w:rPr>
        <w:t xml:space="preserve">The Manager will do the work with reasonable skill and care, but social media results (reach, followers, engagement, sales) depend on factors outside its control, and no specific result is guaranteed.</w:t>
      </w:r>
    </w:p>
    <w:p>
      <w:pPr>
        <w:spacing w:after="120"/>
        <w:ind w:left="0"/>
      </w:pPr>
      <w:r>
        <w:rPr>
          <w:rFonts w:ascii="Arial" w:cs="Arial" w:eastAsia="Arial" w:hAnsi="Arial"/>
          <w:b/>
          <w:bCs/>
          <w:sz w:val="21"/>
          <w:szCs w:val="21"/>
        </w:rPr>
        <w:t xml:space="preserve">10.2  </w:t>
      </w:r>
      <w:r>
        <w:rPr>
          <w:rFonts w:ascii="Arial" w:cs="Arial" w:eastAsia="Arial" w:hAnsi="Arial"/>
          <w:sz w:val="21"/>
          <w:szCs w:val="21"/>
        </w:rPr>
        <w:t xml:space="preserve">Platforms change features, rules and algorithms without notice. The Manager isn't responsible for outages, account restrictions or changes made by a platform, but will tell the Client promptly and help resolve them.</w:t>
      </w:r>
    </w:p>
    <w:p>
      <w:pPr>
        <w:pStyle w:val="Heading1"/>
        <w:keepNext/>
        <w:spacing w:after="140" w:before="320"/>
      </w:pPr>
      <w:r>
        <w:rPr>
          <w:rFonts w:ascii="Arial" w:cs="Arial" w:eastAsia="Arial" w:hAnsi="Arial"/>
          <w:b/>
          <w:bCs/>
          <w:color w:val="991B1B"/>
          <w:sz w:val="26"/>
          <w:szCs w:val="26"/>
        </w:rPr>
        <w:t xml:space="preserve">11. Liability</w:t>
      </w:r>
    </w:p>
    <w:p>
      <w:pPr>
        <w:spacing w:after="120"/>
        <w:ind w:left="0"/>
      </w:pPr>
      <w:r>
        <w:rPr>
          <w:rFonts w:ascii="Arial" w:cs="Arial" w:eastAsia="Arial" w:hAnsi="Arial"/>
          <w:b/>
          <w:bCs/>
          <w:sz w:val="21"/>
          <w:szCs w:val="21"/>
        </w:rPr>
        <w:t xml:space="preserve">11.1  </w:t>
      </w:r>
      <w:r>
        <w:rPr>
          <w:rFonts w:ascii="Arial" w:cs="Arial" w:eastAsia="Arial" w:hAnsi="Arial"/>
          <w:sz w:val="21"/>
          <w:szCs w:val="21"/>
        </w:rPr>
        <w:t xml:space="preserve">Each party's total liability under this agreement is limited to the fees paid in the [3] months before the claim, except where the law does not allow liability to be limited.</w:t>
      </w:r>
    </w:p>
    <w:p>
      <w:pPr>
        <w:spacing w:after="120"/>
        <w:ind w:left="0"/>
      </w:pPr>
      <w:r>
        <w:rPr>
          <w:rFonts w:ascii="Arial" w:cs="Arial" w:eastAsia="Arial" w:hAnsi="Arial"/>
          <w:b/>
          <w:bCs/>
          <w:sz w:val="21"/>
          <w:szCs w:val="21"/>
        </w:rPr>
        <w:t xml:space="preserve">11.2  </w:t>
      </w:r>
      <w:r>
        <w:rPr>
          <w:rFonts w:ascii="Arial" w:cs="Arial" w:eastAsia="Arial" w:hAnsi="Arial"/>
          <w:sz w:val="21"/>
          <w:szCs w:val="21"/>
        </w:rPr>
        <w:t xml:space="preserve">The Client will cover claims arising from material it supplied or content it approved that infringes someone else's rights or breaks the law.</w:t>
      </w:r>
    </w:p>
    <w:p>
      <w:pPr>
        <w:spacing w:after="160"/>
      </w:pPr>
      <w:r>
        <w:rPr>
          <w:rFonts w:ascii="Arial" w:cs="Arial" w:eastAsia="Arial" w:hAnsi="Arial"/>
          <w:i/>
          <w:iCs/>
          <w:color w:val="78716C"/>
          <w:sz w:val="19"/>
          <w:szCs w:val="19"/>
        </w:rPr>
        <w:t xml:space="preserve">[Liability and indemnity wording is the part most worth a lawyer's hour. Rules on what can be limited vary a lot by country and state.]</w:t>
      </w:r>
    </w:p>
    <w:p>
      <w:pPr>
        <w:pStyle w:val="Heading1"/>
        <w:keepNext/>
        <w:spacing w:after="140" w:before="320"/>
      </w:pPr>
      <w:r>
        <w:rPr>
          <w:rFonts w:ascii="Arial" w:cs="Arial" w:eastAsia="Arial" w:hAnsi="Arial"/>
          <w:b/>
          <w:bCs/>
          <w:color w:val="991B1B"/>
          <w:sz w:val="26"/>
          <w:szCs w:val="26"/>
        </w:rPr>
        <w:t xml:space="preserve">12. General</w:t>
      </w:r>
    </w:p>
    <w:p>
      <w:pPr>
        <w:spacing w:after="120"/>
        <w:ind w:left="0"/>
      </w:pPr>
      <w:r>
        <w:rPr>
          <w:rFonts w:ascii="Arial" w:cs="Arial" w:eastAsia="Arial" w:hAnsi="Arial"/>
          <w:b/>
          <w:bCs/>
          <w:sz w:val="21"/>
          <w:szCs w:val="21"/>
        </w:rPr>
        <w:t xml:space="preserve">12.1  </w:t>
      </w:r>
      <w:r>
        <w:rPr>
          <w:rFonts w:ascii="Arial" w:cs="Arial" w:eastAsia="Arial" w:hAnsi="Arial"/>
          <w:sz w:val="21"/>
          <w:szCs w:val="21"/>
        </w:rPr>
        <w:t xml:space="preserve">This agreement, with Exhibit A, is the whole agreement between the parties. Changes must be in writing and approved by both (email is enough).</w:t>
      </w:r>
    </w:p>
    <w:p>
      <w:pPr>
        <w:spacing w:after="120"/>
        <w:ind w:left="0"/>
      </w:pPr>
      <w:r>
        <w:rPr>
          <w:rFonts w:ascii="Arial" w:cs="Arial" w:eastAsia="Arial" w:hAnsi="Arial"/>
          <w:b/>
          <w:bCs/>
          <w:sz w:val="21"/>
          <w:szCs w:val="21"/>
        </w:rPr>
        <w:t xml:space="preserve">12.2  </w:t>
      </w:r>
      <w:r>
        <w:rPr>
          <w:rFonts w:ascii="Arial" w:cs="Arial" w:eastAsia="Arial" w:hAnsi="Arial"/>
          <w:sz w:val="21"/>
          <w:szCs w:val="21"/>
        </w:rPr>
        <w:t xml:space="preserve">The Manager is an independent contractor, not an employee of the Client.</w:t>
      </w:r>
    </w:p>
    <w:p>
      <w:pPr>
        <w:spacing w:after="120"/>
        <w:ind w:left="0"/>
      </w:pPr>
      <w:r>
        <w:rPr>
          <w:rFonts w:ascii="Arial" w:cs="Arial" w:eastAsia="Arial" w:hAnsi="Arial"/>
          <w:b/>
          <w:bCs/>
          <w:sz w:val="21"/>
          <w:szCs w:val="21"/>
        </w:rPr>
        <w:t xml:space="preserve">12.3  </w:t>
      </w:r>
      <w:r>
        <w:rPr>
          <w:rFonts w:ascii="Arial" w:cs="Arial" w:eastAsia="Arial" w:hAnsi="Arial"/>
          <w:sz w:val="21"/>
          <w:szCs w:val="21"/>
        </w:rPr>
        <w:t xml:space="preserve">This agreement is governed by the laws of [country / state].</w:t>
      </w:r>
    </w:p>
    <w:p>
      <w:pPr>
        <w:spacing w:after="120"/>
      </w:pPr>
    </w:p>
    <w:tbl>
      <w:tblPr>
        <w:tblW w:type="pct" w:w="5000"/>
        <w:tblBorders>
          <w:top w:val="single" w:color="D6D3D1" w:sz="4"/>
          <w:left w:val="single" w:color="D6D3D1" w:sz="4"/>
          <w:bottom w:val="single" w:color="D6D3D1" w:sz="4"/>
          <w:right w:val="single" w:color="D6D3D1" w:sz="4"/>
          <w:insideH w:val="single" w:color="E7E5E4" w:sz="4"/>
          <w:insideV w:val="single" w:color="E7E5E4" w:sz="4"/>
        </w:tblBorders>
      </w:tblPr>
      <w:tblGrid>
        <w:gridCol w:w="4513"/>
        <w:gridCol w:w="4513"/>
      </w:tblGrid>
      <w:tr>
        <w:trPr>
          <w:tblHeader/>
        </w:trPr>
        <w:tc>
          <w:tcPr>
            <w:tcW w:type="pct" w:w="2500"/>
            <w:shd w:fill="F5F5F4" w:color="auto" w:val="clear"/>
            <w:tcMar>
              <w:top w:type="dxa" w:w="80"/>
              <w:left w:type="dxa" w:w="100"/>
              <w:bottom w:type="dxa" w:w="80"/>
              <w:right w:type="dxa" w:w="100"/>
            </w:tcMar>
          </w:tcPr>
          <w:p>
            <w:r>
              <w:rPr>
                <w:rFonts w:ascii="Arial" w:cs="Arial" w:eastAsia="Arial" w:hAnsi="Arial"/>
                <w:b/>
                <w:bCs/>
                <w:color w:val="1C1917"/>
                <w:sz w:val="19"/>
                <w:szCs w:val="19"/>
              </w:rPr>
              <w:t xml:space="preserve">Signed for the Client</w:t>
            </w:r>
          </w:p>
        </w:tc>
        <w:tc>
          <w:tcPr>
            <w:tcW w:type="pct" w:w="2500"/>
            <w:shd w:fill="F5F5F4" w:color="auto" w:val="clear"/>
            <w:tcMar>
              <w:top w:type="dxa" w:w="80"/>
              <w:left w:type="dxa" w:w="100"/>
              <w:bottom w:type="dxa" w:w="80"/>
              <w:right w:type="dxa" w:w="100"/>
            </w:tcMar>
          </w:tcPr>
          <w:p>
            <w:r>
              <w:rPr>
                <w:rFonts w:ascii="Arial" w:cs="Arial" w:eastAsia="Arial" w:hAnsi="Arial"/>
                <w:b/>
                <w:bCs/>
                <w:color w:val="1C1917"/>
                <w:sz w:val="19"/>
                <w:szCs w:val="19"/>
              </w:rPr>
              <w:t xml:space="preserve">Signed for the Manager</w:t>
            </w:r>
          </w:p>
        </w:tc>
      </w:tr>
      <w:tr>
        <w:tc>
          <w:tcPr>
            <w:tcW w:type="pct" w:w="2500"/>
            <w:tcMar>
              <w:top w:type="dxa" w:w="80"/>
              <w:left w:type="dxa" w:w="100"/>
              <w:bottom w:type="dxa" w:w="80"/>
              <w:right w:type="dxa" w:w="100"/>
            </w:tcMar>
          </w:tcPr>
          <w:p>
            <w:r>
              <w:rPr>
                <w:rFonts w:ascii="Arial" w:cs="Arial" w:eastAsia="Arial" w:hAnsi="Arial"/>
                <w:b w:val="false"/>
                <w:bCs w:val="false"/>
                <w:sz w:val="19"/>
                <w:szCs w:val="19"/>
              </w:rPr>
              <w:t xml:space="preserve">Name:</w:t>
            </w:r>
          </w:p>
        </w:tc>
        <w:tc>
          <w:tcPr>
            <w:tcW w:type="pct" w:w="2500"/>
            <w:tcMar>
              <w:top w:type="dxa" w:w="80"/>
              <w:left w:type="dxa" w:w="100"/>
              <w:bottom w:type="dxa" w:w="80"/>
              <w:right w:type="dxa" w:w="100"/>
            </w:tcMar>
          </w:tcPr>
          <w:p>
            <w:r>
              <w:rPr>
                <w:rFonts w:ascii="Arial" w:cs="Arial" w:eastAsia="Arial" w:hAnsi="Arial"/>
                <w:b w:val="false"/>
                <w:bCs w:val="false"/>
                <w:sz w:val="19"/>
                <w:szCs w:val="19"/>
              </w:rPr>
              <w:t xml:space="preserve">Name:</w:t>
            </w:r>
          </w:p>
        </w:tc>
      </w:tr>
      <w:tr>
        <w:tc>
          <w:tcPr>
            <w:tcW w:type="pct" w:w="2500"/>
            <w:tcMar>
              <w:top w:type="dxa" w:w="80"/>
              <w:left w:type="dxa" w:w="100"/>
              <w:bottom w:type="dxa" w:w="80"/>
              <w:right w:type="dxa" w:w="100"/>
            </w:tcMar>
          </w:tcPr>
          <w:p>
            <w:r>
              <w:rPr>
                <w:rFonts w:ascii="Arial" w:cs="Arial" w:eastAsia="Arial" w:hAnsi="Arial"/>
                <w:b w:val="false"/>
                <w:bCs w:val="false"/>
                <w:sz w:val="19"/>
                <w:szCs w:val="19"/>
              </w:rPr>
              <w:t xml:space="preserve">Title:</w:t>
            </w:r>
          </w:p>
        </w:tc>
        <w:tc>
          <w:tcPr>
            <w:tcW w:type="pct" w:w="2500"/>
            <w:tcMar>
              <w:top w:type="dxa" w:w="80"/>
              <w:left w:type="dxa" w:w="100"/>
              <w:bottom w:type="dxa" w:w="80"/>
              <w:right w:type="dxa" w:w="100"/>
            </w:tcMar>
          </w:tcPr>
          <w:p>
            <w:r>
              <w:rPr>
                <w:rFonts w:ascii="Arial" w:cs="Arial" w:eastAsia="Arial" w:hAnsi="Arial"/>
                <w:b w:val="false"/>
                <w:bCs w:val="false"/>
                <w:sz w:val="19"/>
                <w:szCs w:val="19"/>
              </w:rPr>
              <w:t xml:space="preserve">Title:</w:t>
            </w:r>
          </w:p>
        </w:tc>
      </w:tr>
      <w:tr>
        <w:tc>
          <w:tcPr>
            <w:tcW w:type="pct" w:w="2500"/>
            <w:tcMar>
              <w:top w:type="dxa" w:w="80"/>
              <w:left w:type="dxa" w:w="100"/>
              <w:bottom w:type="dxa" w:w="80"/>
              <w:right w:type="dxa" w:w="100"/>
            </w:tcMar>
          </w:tcPr>
          <w:p>
            <w:r>
              <w:rPr>
                <w:rFonts w:ascii="Arial" w:cs="Arial" w:eastAsia="Arial" w:hAnsi="Arial"/>
                <w:b w:val="false"/>
                <w:bCs w:val="false"/>
                <w:sz w:val="19"/>
                <w:szCs w:val="19"/>
              </w:rPr>
              <w:t xml:space="preserve">Signature:</w:t>
            </w:r>
          </w:p>
        </w:tc>
        <w:tc>
          <w:tcPr>
            <w:tcW w:type="pct" w:w="2500"/>
            <w:tcMar>
              <w:top w:type="dxa" w:w="80"/>
              <w:left w:type="dxa" w:w="100"/>
              <w:bottom w:type="dxa" w:w="80"/>
              <w:right w:type="dxa" w:w="100"/>
            </w:tcMar>
          </w:tcPr>
          <w:p>
            <w:r>
              <w:rPr>
                <w:rFonts w:ascii="Arial" w:cs="Arial" w:eastAsia="Arial" w:hAnsi="Arial"/>
                <w:b w:val="false"/>
                <w:bCs w:val="false"/>
                <w:sz w:val="19"/>
                <w:szCs w:val="19"/>
              </w:rPr>
              <w:t xml:space="preserve">Signature:</w:t>
            </w:r>
          </w:p>
        </w:tc>
      </w:tr>
      <w:tr>
        <w:tc>
          <w:tcPr>
            <w:tcW w:type="pct" w:w="2500"/>
            <w:tcMar>
              <w:top w:type="dxa" w:w="80"/>
              <w:left w:type="dxa" w:w="100"/>
              <w:bottom w:type="dxa" w:w="80"/>
              <w:right w:type="dxa" w:w="100"/>
            </w:tcMar>
          </w:tcPr>
          <w:p>
            <w:r>
              <w:rPr>
                <w:rFonts w:ascii="Arial" w:cs="Arial" w:eastAsia="Arial" w:hAnsi="Arial"/>
                <w:b w:val="false"/>
                <w:bCs w:val="false"/>
                <w:sz w:val="19"/>
                <w:szCs w:val="19"/>
              </w:rPr>
              <w:t xml:space="preserve">Date:</w:t>
            </w:r>
          </w:p>
        </w:tc>
        <w:tc>
          <w:tcPr>
            <w:tcW w:type="pct" w:w="2500"/>
            <w:tcMar>
              <w:top w:type="dxa" w:w="80"/>
              <w:left w:type="dxa" w:w="100"/>
              <w:bottom w:type="dxa" w:w="80"/>
              <w:right w:type="dxa" w:w="100"/>
            </w:tcMar>
          </w:tcPr>
          <w:p>
            <w:r>
              <w:rPr>
                <w:rFonts w:ascii="Arial" w:cs="Arial" w:eastAsia="Arial" w:hAnsi="Arial"/>
                <w:b w:val="false"/>
                <w:bCs w:val="false"/>
                <w:sz w:val="19"/>
                <w:szCs w:val="19"/>
              </w:rPr>
              <w:t xml:space="preserve">Date:</w:t>
            </w:r>
          </w:p>
        </w:tc>
      </w:tr>
    </w:tbl>
    <w:p>
      <w:r>
        <w:br w:type="page"/>
      </w:r>
    </w:p>
    <w:p>
      <w:pPr>
        <w:spacing w:after="80"/>
      </w:pPr>
      <w:r>
        <w:rPr>
          <w:rFonts w:ascii="Arial" w:cs="Arial" w:eastAsia="Arial" w:hAnsi="Arial"/>
          <w:b/>
          <w:bCs/>
          <w:color w:val="1C1917"/>
          <w:sz w:val="36"/>
          <w:szCs w:val="36"/>
        </w:rPr>
        <w:t xml:space="preserve">Exhibit A: Scope</w:t>
      </w:r>
    </w:p>
    <w:p>
      <w:pPr>
        <w:spacing w:after="160"/>
      </w:pPr>
      <w:r>
        <w:rPr>
          <w:rFonts w:ascii="Arial" w:cs="Arial" w:eastAsia="Arial" w:hAnsi="Arial"/>
          <w:i/>
          <w:iCs/>
          <w:color w:val="78716C"/>
          <w:sz w:val="19"/>
          <w:szCs w:val="19"/>
        </w:rPr>
        <w:t xml:space="preserve">[One row per deliverable. If it isn't in this table, it's additional work under clause 3.]</w:t>
      </w:r>
    </w:p>
    <w:tbl>
      <w:tblPr>
        <w:tblW w:type="pct" w:w="5000"/>
        <w:tblBorders>
          <w:top w:val="single" w:color="D6D3D1" w:sz="4"/>
          <w:left w:val="single" w:color="D6D3D1" w:sz="4"/>
          <w:bottom w:val="single" w:color="D6D3D1" w:sz="4"/>
          <w:right w:val="single" w:color="D6D3D1" w:sz="4"/>
          <w:insideH w:val="single" w:color="E7E5E4" w:sz="4"/>
          <w:insideV w:val="single" w:color="E7E5E4" w:sz="4"/>
        </w:tblBorders>
      </w:tblPr>
      <w:tblGrid>
        <w:gridCol w:w="2888"/>
        <w:gridCol w:w="1805"/>
        <w:gridCol w:w="2708"/>
        <w:gridCol w:w="1625"/>
      </w:tblGrid>
      <w:tr>
        <w:trPr>
          <w:tblHeader/>
        </w:trPr>
        <w:tc>
          <w:tcPr>
            <w:tcW w:type="pct" w:w="1600"/>
            <w:shd w:fill="F5F5F4" w:color="auto" w:val="clear"/>
            <w:tcMar>
              <w:top w:type="dxa" w:w="80"/>
              <w:left w:type="dxa" w:w="100"/>
              <w:bottom w:type="dxa" w:w="80"/>
              <w:right w:type="dxa" w:w="100"/>
            </w:tcMar>
          </w:tcPr>
          <w:p>
            <w:r>
              <w:rPr>
                <w:rFonts w:ascii="Arial" w:cs="Arial" w:eastAsia="Arial" w:hAnsi="Arial"/>
                <w:b/>
                <w:bCs/>
                <w:color w:val="1C1917"/>
                <w:sz w:val="19"/>
                <w:szCs w:val="19"/>
              </w:rPr>
              <w:t xml:space="preserve">Deliverable</w:t>
            </w:r>
          </w:p>
        </w:tc>
        <w:tc>
          <w:tcPr>
            <w:tcW w:type="pct" w:w="1000"/>
            <w:shd w:fill="F5F5F4" w:color="auto" w:val="clear"/>
            <w:tcMar>
              <w:top w:type="dxa" w:w="80"/>
              <w:left w:type="dxa" w:w="100"/>
              <w:bottom w:type="dxa" w:w="80"/>
              <w:right w:type="dxa" w:w="100"/>
            </w:tcMar>
          </w:tcPr>
          <w:p>
            <w:r>
              <w:rPr>
                <w:rFonts w:ascii="Arial" w:cs="Arial" w:eastAsia="Arial" w:hAnsi="Arial"/>
                <w:b/>
                <w:bCs/>
                <w:color w:val="1C1917"/>
                <w:sz w:val="19"/>
                <w:szCs w:val="19"/>
              </w:rPr>
              <w:t xml:space="preserve">Platform</w:t>
            </w:r>
          </w:p>
        </w:tc>
        <w:tc>
          <w:tcPr>
            <w:tcW w:type="pct" w:w="1500"/>
            <w:shd w:fill="F5F5F4" w:color="auto" w:val="clear"/>
            <w:tcMar>
              <w:top w:type="dxa" w:w="80"/>
              <w:left w:type="dxa" w:w="100"/>
              <w:bottom w:type="dxa" w:w="80"/>
              <w:right w:type="dxa" w:w="100"/>
            </w:tcMar>
          </w:tcPr>
          <w:p>
            <w:r>
              <w:rPr>
                <w:rFonts w:ascii="Arial" w:cs="Arial" w:eastAsia="Arial" w:hAnsi="Arial"/>
                <w:b/>
                <w:bCs/>
                <w:color w:val="1C1917"/>
                <w:sz w:val="19"/>
                <w:szCs w:val="19"/>
              </w:rPr>
              <w:t xml:space="preserve">How many / how often</w:t>
            </w:r>
          </w:p>
        </w:tc>
        <w:tc>
          <w:tcPr>
            <w:tcW w:type="pct" w:w="900"/>
            <w:shd w:fill="F5F5F4" w:color="auto" w:val="clear"/>
            <w:tcMar>
              <w:top w:type="dxa" w:w="80"/>
              <w:left w:type="dxa" w:w="100"/>
              <w:bottom w:type="dxa" w:w="80"/>
              <w:right w:type="dxa" w:w="100"/>
            </w:tcMar>
          </w:tcPr>
          <w:p>
            <w:r>
              <w:rPr>
                <w:rFonts w:ascii="Arial" w:cs="Arial" w:eastAsia="Arial" w:hAnsi="Arial"/>
                <w:b/>
                <w:bCs/>
                <w:color w:val="1C1917"/>
                <w:sz w:val="19"/>
                <w:szCs w:val="19"/>
              </w:rPr>
              <w:t xml:space="preserve">Revision rounds</w:t>
            </w:r>
          </w:p>
        </w:tc>
      </w:tr>
      <w:tr>
        <w:tc>
          <w:tcPr>
            <w:tcW w:type="pct" w:w="1600"/>
            <w:tcMar>
              <w:top w:type="dxa" w:w="80"/>
              <w:left w:type="dxa" w:w="100"/>
              <w:bottom w:type="dxa" w:w="80"/>
              <w:right w:type="dxa" w:w="100"/>
            </w:tcMar>
          </w:tcPr>
          <w:p>
            <w:r>
              <w:rPr>
                <w:rFonts w:ascii="Arial" w:cs="Arial" w:eastAsia="Arial" w:hAnsi="Arial"/>
                <w:b w:val="false"/>
                <w:bCs w:val="false"/>
                <w:sz w:val="19"/>
                <w:szCs w:val="19"/>
              </w:rPr>
              <w:t xml:space="preserve">[e.g. Feed posts (carousel or single image)]</w:t>
            </w:r>
          </w:p>
        </w:tc>
        <w:tc>
          <w:tcPr>
            <w:tcW w:type="pct" w:w="1000"/>
            <w:tcMar>
              <w:top w:type="dxa" w:w="80"/>
              <w:left w:type="dxa" w:w="100"/>
              <w:bottom w:type="dxa" w:w="80"/>
              <w:right w:type="dxa" w:w="100"/>
            </w:tcMar>
          </w:tcPr>
          <w:p>
            <w:r>
              <w:rPr>
                <w:rFonts w:ascii="Arial" w:cs="Arial" w:eastAsia="Arial" w:hAnsi="Arial"/>
                <w:b w:val="false"/>
                <w:bCs w:val="false"/>
                <w:sz w:val="19"/>
                <w:szCs w:val="19"/>
              </w:rPr>
              <w:t xml:space="preserve">[Instagram, Facebook]</w:t>
            </w:r>
          </w:p>
        </w:tc>
        <w:tc>
          <w:tcPr>
            <w:tcW w:type="pct" w:w="1500"/>
            <w:tcMar>
              <w:top w:type="dxa" w:w="80"/>
              <w:left w:type="dxa" w:w="100"/>
              <w:bottom w:type="dxa" w:w="80"/>
              <w:right w:type="dxa" w:w="100"/>
            </w:tcMar>
          </w:tcPr>
          <w:p>
            <w:r>
              <w:rPr>
                <w:rFonts w:ascii="Arial" w:cs="Arial" w:eastAsia="Arial" w:hAnsi="Arial"/>
                <w:b w:val="false"/>
                <w:bCs w:val="false"/>
                <w:sz w:val="19"/>
                <w:szCs w:val="19"/>
              </w:rPr>
              <w:t xml:space="preserve">[12 a month]</w:t>
            </w:r>
          </w:p>
        </w:tc>
        <w:tc>
          <w:tcPr>
            <w:tcW w:type="pct" w:w="900"/>
            <w:tcMar>
              <w:top w:type="dxa" w:w="80"/>
              <w:left w:type="dxa" w:w="100"/>
              <w:bottom w:type="dxa" w:w="80"/>
              <w:right w:type="dxa" w:w="100"/>
            </w:tcMar>
          </w:tcPr>
          <w:p>
            <w:r>
              <w:rPr>
                <w:rFonts w:ascii="Arial" w:cs="Arial" w:eastAsia="Arial" w:hAnsi="Arial"/>
                <w:b w:val="false"/>
                <w:bCs w:val="false"/>
                <w:sz w:val="19"/>
                <w:szCs w:val="19"/>
              </w:rPr>
              <w:t xml:space="preserve">[2 per post]</w:t>
            </w:r>
          </w:p>
        </w:tc>
      </w:tr>
      <w:tr>
        <w:tc>
          <w:tcPr>
            <w:tcW w:type="pct" w:w="1600"/>
            <w:tcMar>
              <w:top w:type="dxa" w:w="80"/>
              <w:left w:type="dxa" w:w="100"/>
              <w:bottom w:type="dxa" w:w="80"/>
              <w:right w:type="dxa" w:w="100"/>
            </w:tcMar>
          </w:tcPr>
          <w:p>
            <w:r>
              <w:rPr>
                <w:rFonts w:ascii="Arial" w:cs="Arial" w:eastAsia="Arial" w:hAnsi="Arial"/>
                <w:b w:val="false"/>
                <w:bCs w:val="false"/>
                <w:sz w:val="19"/>
                <w:szCs w:val="19"/>
              </w:rPr>
              <w:t xml:space="preserve">[e.g. Stories]</w:t>
            </w:r>
          </w:p>
        </w:tc>
        <w:tc>
          <w:tcPr>
            <w:tcW w:type="pct" w:w="1000"/>
            <w:tcMar>
              <w:top w:type="dxa" w:w="80"/>
              <w:left w:type="dxa" w:w="100"/>
              <w:bottom w:type="dxa" w:w="80"/>
              <w:right w:type="dxa" w:w="100"/>
            </w:tcMar>
          </w:tcPr>
          <w:p>
            <w:r>
              <w:rPr>
                <w:rFonts w:ascii="Arial" w:cs="Arial" w:eastAsia="Arial" w:hAnsi="Arial"/>
                <w:b w:val="false"/>
                <w:bCs w:val="false"/>
                <w:sz w:val="19"/>
                <w:szCs w:val="19"/>
              </w:rPr>
              <w:t xml:space="preserve">[Instagram]</w:t>
            </w:r>
          </w:p>
        </w:tc>
        <w:tc>
          <w:tcPr>
            <w:tcW w:type="pct" w:w="1500"/>
            <w:tcMar>
              <w:top w:type="dxa" w:w="80"/>
              <w:left w:type="dxa" w:w="100"/>
              <w:bottom w:type="dxa" w:w="80"/>
              <w:right w:type="dxa" w:w="100"/>
            </w:tcMar>
          </w:tcPr>
          <w:p>
            <w:r>
              <w:rPr>
                <w:rFonts w:ascii="Arial" w:cs="Arial" w:eastAsia="Arial" w:hAnsi="Arial"/>
                <w:b w:val="false"/>
                <w:bCs w:val="false"/>
                <w:sz w:val="19"/>
                <w:szCs w:val="19"/>
              </w:rPr>
              <w:t xml:space="preserve">[8 a month]</w:t>
            </w:r>
          </w:p>
        </w:tc>
        <w:tc>
          <w:tcPr>
            <w:tcW w:type="pct" w:w="900"/>
            <w:tcMar>
              <w:top w:type="dxa" w:w="80"/>
              <w:left w:type="dxa" w:w="100"/>
              <w:bottom w:type="dxa" w:w="80"/>
              <w:right w:type="dxa" w:w="100"/>
            </w:tcMar>
          </w:tcPr>
          <w:p>
            <w:r>
              <w:rPr>
                <w:rFonts w:ascii="Arial" w:cs="Arial" w:eastAsia="Arial" w:hAnsi="Arial"/>
                <w:b w:val="false"/>
                <w:bCs w:val="false"/>
                <w:sz w:val="19"/>
                <w:szCs w:val="19"/>
              </w:rPr>
              <w:t xml:space="preserve">[1 per batch]</w:t>
            </w:r>
          </w:p>
        </w:tc>
      </w:tr>
      <w:tr>
        <w:tc>
          <w:tcPr>
            <w:tcW w:type="pct" w:w="1600"/>
            <w:tcMar>
              <w:top w:type="dxa" w:w="80"/>
              <w:left w:type="dxa" w:w="100"/>
              <w:bottom w:type="dxa" w:w="80"/>
              <w:right w:type="dxa" w:w="100"/>
            </w:tcMar>
          </w:tcPr>
          <w:p>
            <w:r>
              <w:rPr>
                <w:rFonts w:ascii="Arial" w:cs="Arial" w:eastAsia="Arial" w:hAnsi="Arial"/>
                <w:b w:val="false"/>
                <w:bCs w:val="false"/>
                <w:sz w:val="19"/>
                <w:szCs w:val="19"/>
              </w:rPr>
              <w:t xml:space="preserve">[e.g. Short videos]</w:t>
            </w:r>
          </w:p>
        </w:tc>
        <w:tc>
          <w:tcPr>
            <w:tcW w:type="pct" w:w="1000"/>
            <w:tcMar>
              <w:top w:type="dxa" w:w="80"/>
              <w:left w:type="dxa" w:w="100"/>
              <w:bottom w:type="dxa" w:w="80"/>
              <w:right w:type="dxa" w:w="100"/>
            </w:tcMar>
          </w:tcPr>
          <w:p>
            <w:r>
              <w:rPr>
                <w:rFonts w:ascii="Arial" w:cs="Arial" w:eastAsia="Arial" w:hAnsi="Arial"/>
                <w:b w:val="false"/>
                <w:bCs w:val="false"/>
                <w:sz w:val="19"/>
                <w:szCs w:val="19"/>
              </w:rPr>
              <w:t xml:space="preserve">[Instagram, TikTok]</w:t>
            </w:r>
          </w:p>
        </w:tc>
        <w:tc>
          <w:tcPr>
            <w:tcW w:type="pct" w:w="1500"/>
            <w:tcMar>
              <w:top w:type="dxa" w:w="80"/>
              <w:left w:type="dxa" w:w="100"/>
              <w:bottom w:type="dxa" w:w="80"/>
              <w:right w:type="dxa" w:w="100"/>
            </w:tcMar>
          </w:tcPr>
          <w:p>
            <w:r>
              <w:rPr>
                <w:rFonts w:ascii="Arial" w:cs="Arial" w:eastAsia="Arial" w:hAnsi="Arial"/>
                <w:b w:val="false"/>
                <w:bCs w:val="false"/>
                <w:sz w:val="19"/>
                <w:szCs w:val="19"/>
              </w:rPr>
              <w:t xml:space="preserve">[4 a month, Client supplies raw footage]</w:t>
            </w:r>
          </w:p>
        </w:tc>
        <w:tc>
          <w:tcPr>
            <w:tcW w:type="pct" w:w="900"/>
            <w:tcMar>
              <w:top w:type="dxa" w:w="80"/>
              <w:left w:type="dxa" w:w="100"/>
              <w:bottom w:type="dxa" w:w="80"/>
              <w:right w:type="dxa" w:w="100"/>
            </w:tcMar>
          </w:tcPr>
          <w:p>
            <w:r>
              <w:rPr>
                <w:rFonts w:ascii="Arial" w:cs="Arial" w:eastAsia="Arial" w:hAnsi="Arial"/>
                <w:b w:val="false"/>
                <w:bCs w:val="false"/>
                <w:sz w:val="19"/>
                <w:szCs w:val="19"/>
              </w:rPr>
              <w:t xml:space="preserve">[2 per video]</w:t>
            </w:r>
          </w:p>
        </w:tc>
      </w:tr>
      <w:tr>
        <w:tc>
          <w:tcPr>
            <w:tcW w:type="pct" w:w="1600"/>
            <w:tcMar>
              <w:top w:type="dxa" w:w="80"/>
              <w:left w:type="dxa" w:w="100"/>
              <w:bottom w:type="dxa" w:w="80"/>
              <w:right w:type="dxa" w:w="100"/>
            </w:tcMar>
          </w:tcPr>
          <w:p>
            <w:r>
              <w:rPr>
                <w:rFonts w:ascii="Arial" w:cs="Arial" w:eastAsia="Arial" w:hAnsi="Arial"/>
                <w:b w:val="false"/>
                <w:bCs w:val="false"/>
                <w:sz w:val="19"/>
                <w:szCs w:val="19"/>
              </w:rPr>
              <w:t xml:space="preserve">[e.g. Community management]</w:t>
            </w:r>
          </w:p>
        </w:tc>
        <w:tc>
          <w:tcPr>
            <w:tcW w:type="pct" w:w="1000"/>
            <w:tcMar>
              <w:top w:type="dxa" w:w="80"/>
              <w:left w:type="dxa" w:w="100"/>
              <w:bottom w:type="dxa" w:w="80"/>
              <w:right w:type="dxa" w:w="100"/>
            </w:tcMar>
          </w:tcPr>
          <w:p>
            <w:r>
              <w:rPr>
                <w:rFonts w:ascii="Arial" w:cs="Arial" w:eastAsia="Arial" w:hAnsi="Arial"/>
                <w:b w:val="false"/>
                <w:bCs w:val="false"/>
                <w:sz w:val="19"/>
                <w:szCs w:val="19"/>
              </w:rPr>
              <w:t xml:space="preserve">[Instagram, Facebook]</w:t>
            </w:r>
          </w:p>
        </w:tc>
        <w:tc>
          <w:tcPr>
            <w:tcW w:type="pct" w:w="1500"/>
            <w:tcMar>
              <w:top w:type="dxa" w:w="80"/>
              <w:left w:type="dxa" w:w="100"/>
              <w:bottom w:type="dxa" w:w="80"/>
              <w:right w:type="dxa" w:w="100"/>
            </w:tcMar>
          </w:tcPr>
          <w:p>
            <w:r>
              <w:rPr>
                <w:rFonts w:ascii="Arial" w:cs="Arial" w:eastAsia="Arial" w:hAnsi="Arial"/>
                <w:b w:val="false"/>
                <w:bCs w:val="false"/>
                <w:sz w:val="19"/>
                <w:szCs w:val="19"/>
              </w:rPr>
              <w:t xml:space="preserve">[Weekdays 9:00 to 17:00, replies within 1 working day]</w:t>
            </w:r>
          </w:p>
        </w:tc>
        <w:tc>
          <w:tcPr>
            <w:tcW w:type="pct" w:w="900"/>
            <w:tcMar>
              <w:top w:type="dxa" w:w="80"/>
              <w:left w:type="dxa" w:w="100"/>
              <w:bottom w:type="dxa" w:w="80"/>
              <w:right w:type="dxa" w:w="100"/>
            </w:tcMar>
          </w:tcPr>
          <w:p>
            <w:r>
              <w:rPr>
                <w:rFonts w:ascii="Arial" w:cs="Arial" w:eastAsia="Arial" w:hAnsi="Arial"/>
                <w:b w:val="false"/>
                <w:bCs w:val="false"/>
                <w:sz w:val="19"/>
                <w:szCs w:val="19"/>
              </w:rPr>
              <w:t xml:space="preserve">[n/a]</w:t>
            </w:r>
          </w:p>
        </w:tc>
      </w:tr>
      <w:tr>
        <w:tc>
          <w:tcPr>
            <w:tcW w:type="pct" w:w="1600"/>
            <w:tcMar>
              <w:top w:type="dxa" w:w="80"/>
              <w:left w:type="dxa" w:w="100"/>
              <w:bottom w:type="dxa" w:w="80"/>
              <w:right w:type="dxa" w:w="100"/>
            </w:tcMar>
          </w:tcPr>
          <w:p>
            <w:r>
              <w:rPr>
                <w:rFonts w:ascii="Arial" w:cs="Arial" w:eastAsia="Arial" w:hAnsi="Arial"/>
                <w:b w:val="false"/>
                <w:bCs w:val="false"/>
                <w:sz w:val="19"/>
                <w:szCs w:val="19"/>
              </w:rPr>
              <w:t xml:space="preserve">[e.g. Content calendar]</w:t>
            </w:r>
          </w:p>
        </w:tc>
        <w:tc>
          <w:tcPr>
            <w:tcW w:type="pct" w:w="1000"/>
            <w:tcMar>
              <w:top w:type="dxa" w:w="80"/>
              <w:left w:type="dxa" w:w="100"/>
              <w:bottom w:type="dxa" w:w="80"/>
              <w:right w:type="dxa" w:w="100"/>
            </w:tcMar>
          </w:tcPr>
          <w:p>
            <w:r>
              <w:rPr>
                <w:rFonts w:ascii="Arial" w:cs="Arial" w:eastAsia="Arial" w:hAnsi="Arial"/>
                <w:b w:val="false"/>
                <w:bCs w:val="false"/>
                <w:sz w:val="19"/>
                <w:szCs w:val="19"/>
              </w:rPr>
              <w:t xml:space="preserve">[All]</w:t>
            </w:r>
          </w:p>
        </w:tc>
        <w:tc>
          <w:tcPr>
            <w:tcW w:type="pct" w:w="1500"/>
            <w:tcMar>
              <w:top w:type="dxa" w:w="80"/>
              <w:left w:type="dxa" w:w="100"/>
              <w:bottom w:type="dxa" w:w="80"/>
              <w:right w:type="dxa" w:w="100"/>
            </w:tcMar>
          </w:tcPr>
          <w:p>
            <w:r>
              <w:rPr>
                <w:rFonts w:ascii="Arial" w:cs="Arial" w:eastAsia="Arial" w:hAnsi="Arial"/>
                <w:b w:val="false"/>
                <w:bCs w:val="false"/>
                <w:sz w:val="19"/>
                <w:szCs w:val="19"/>
              </w:rPr>
              <w:t xml:space="preserve">[Monthly, shared by the 20th for the next month]</w:t>
            </w:r>
          </w:p>
        </w:tc>
        <w:tc>
          <w:tcPr>
            <w:tcW w:type="pct" w:w="900"/>
            <w:tcMar>
              <w:top w:type="dxa" w:w="80"/>
              <w:left w:type="dxa" w:w="100"/>
              <w:bottom w:type="dxa" w:w="80"/>
              <w:right w:type="dxa" w:w="100"/>
            </w:tcMar>
          </w:tcPr>
          <w:p>
            <w:r>
              <w:rPr>
                <w:rFonts w:ascii="Arial" w:cs="Arial" w:eastAsia="Arial" w:hAnsi="Arial"/>
                <w:b w:val="false"/>
                <w:bCs w:val="false"/>
                <w:sz w:val="19"/>
                <w:szCs w:val="19"/>
              </w:rPr>
              <w:t xml:space="preserve">[1]</w:t>
            </w:r>
          </w:p>
        </w:tc>
      </w:tr>
      <w:tr>
        <w:tc>
          <w:tcPr>
            <w:tcW w:type="pct" w:w="1600"/>
            <w:tcMar>
              <w:top w:type="dxa" w:w="80"/>
              <w:left w:type="dxa" w:w="100"/>
              <w:bottom w:type="dxa" w:w="80"/>
              <w:right w:type="dxa" w:w="100"/>
            </w:tcMar>
          </w:tcPr>
          <w:p>
            <w:r>
              <w:rPr>
                <w:rFonts w:ascii="Arial" w:cs="Arial" w:eastAsia="Arial" w:hAnsi="Arial"/>
                <w:b w:val="false"/>
                <w:bCs w:val="false"/>
                <w:sz w:val="19"/>
                <w:szCs w:val="19"/>
              </w:rPr>
              <w:t xml:space="preserve">[e.g. Monthly report]</w:t>
            </w:r>
          </w:p>
        </w:tc>
        <w:tc>
          <w:tcPr>
            <w:tcW w:type="pct" w:w="1000"/>
            <w:tcMar>
              <w:top w:type="dxa" w:w="80"/>
              <w:left w:type="dxa" w:w="100"/>
              <w:bottom w:type="dxa" w:w="80"/>
              <w:right w:type="dxa" w:w="100"/>
            </w:tcMar>
          </w:tcPr>
          <w:p>
            <w:r>
              <w:rPr>
                <w:rFonts w:ascii="Arial" w:cs="Arial" w:eastAsia="Arial" w:hAnsi="Arial"/>
                <w:b w:val="false"/>
                <w:bCs w:val="false"/>
                <w:sz w:val="19"/>
                <w:szCs w:val="19"/>
              </w:rPr>
              <w:t xml:space="preserve">[All]</w:t>
            </w:r>
          </w:p>
        </w:tc>
        <w:tc>
          <w:tcPr>
            <w:tcW w:type="pct" w:w="1500"/>
            <w:tcMar>
              <w:top w:type="dxa" w:w="80"/>
              <w:left w:type="dxa" w:w="100"/>
              <w:bottom w:type="dxa" w:w="80"/>
              <w:right w:type="dxa" w:w="100"/>
            </w:tcMar>
          </w:tcPr>
          <w:p>
            <w:r>
              <w:rPr>
                <w:rFonts w:ascii="Arial" w:cs="Arial" w:eastAsia="Arial" w:hAnsi="Arial"/>
                <w:b w:val="false"/>
                <w:bCs w:val="false"/>
                <w:sz w:val="19"/>
                <w:szCs w:val="19"/>
              </w:rPr>
              <w:t xml:space="preserve">[By the 5th of each month]</w:t>
            </w:r>
          </w:p>
        </w:tc>
        <w:tc>
          <w:tcPr>
            <w:tcW w:type="pct" w:w="900"/>
            <w:tcMar>
              <w:top w:type="dxa" w:w="80"/>
              <w:left w:type="dxa" w:w="100"/>
              <w:bottom w:type="dxa" w:w="80"/>
              <w:right w:type="dxa" w:w="100"/>
            </w:tcMar>
          </w:tcPr>
          <w:p>
            <w:r>
              <w:rPr>
                <w:rFonts w:ascii="Arial" w:cs="Arial" w:eastAsia="Arial" w:hAnsi="Arial"/>
                <w:b w:val="false"/>
                <w:bCs w:val="false"/>
                <w:sz w:val="19"/>
                <w:szCs w:val="19"/>
              </w:rPr>
              <w:t xml:space="preserve">[n/a]</w:t>
            </w:r>
          </w:p>
        </w:tc>
      </w:tr>
    </w:tbl>
    <w:p>
      <w:pPr>
        <w:spacing w:after="120"/>
      </w:pPr>
    </w:p>
    <w:p>
      <w:pPr>
        <w:spacing w:after="120"/>
      </w:pPr>
      <w:r>
        <w:rPr>
          <w:rFonts w:ascii="Arial" w:cs="Arial" w:eastAsia="Arial" w:hAnsi="Arial"/>
          <w:b/>
          <w:bCs/>
          <w:sz w:val="21"/>
          <w:szCs w:val="21"/>
        </w:rPr>
        <w:t xml:space="preserve">Not included: </w:t>
      </w:r>
      <w:r>
        <w:rPr>
          <w:rFonts w:ascii="Arial" w:cs="Arial" w:eastAsia="Arial" w:hAnsi="Arial"/>
          <w:sz w:val="21"/>
          <w:szCs w:val="21"/>
        </w:rPr>
        <w:t xml:space="preserve">[e.g. ad spend and paid campaign management, photo or video shoots, influencer fees, website changes, replies outside the hours above].</w:t>
      </w:r>
    </w:p>
    <w:p>
      <w:pPr>
        <w:spacing w:after="120"/>
      </w:pPr>
      <w:r>
        <w:rPr>
          <w:rFonts w:ascii="Arial" w:cs="Arial" w:eastAsia="Arial" w:hAnsi="Arial"/>
          <w:b/>
          <w:bCs/>
          <w:sz w:val="21"/>
          <w:szCs w:val="21"/>
        </w:rPr>
        <w:t xml:space="preserve">Meetings: </w:t>
      </w:r>
      <w:r>
        <w:rPr>
          <w:rFonts w:ascii="Arial" w:cs="Arial" w:eastAsia="Arial" w:hAnsi="Arial"/>
          <w:sz w:val="21"/>
          <w:szCs w:val="21"/>
        </w:rPr>
        <w:t xml:space="preserve">[e.g. one 30-minute check-in a month].</w:t>
      </w:r>
    </w:p>
    <w:p>
      <w:pPr>
        <w:spacing w:after="120"/>
      </w:pPr>
      <w:r>
        <w:rPr>
          <w:rFonts w:ascii="Arial" w:cs="Arial" w:eastAsia="Arial" w:hAnsi="Arial"/>
          <w:b/>
          <w:bCs/>
          <w:sz w:val="21"/>
          <w:szCs w:val="21"/>
        </w:rPr>
        <w:t xml:space="preserve">Main contacts: </w:t>
      </w:r>
      <w:r>
        <w:rPr>
          <w:rFonts w:ascii="Arial" w:cs="Arial" w:eastAsia="Arial" w:hAnsi="Arial"/>
          <w:sz w:val="21"/>
          <w:szCs w:val="21"/>
        </w:rPr>
        <w:t xml:space="preserve">[Client: name, email] · [Manager: name, email]</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 management agreement template</dc:title>
  <dc:creator>Kadenzo</dc:creator>
  <dc:description>Free social media management contract template from kadenzo.app</dc:description>
  <cp:lastModifiedBy>Un-named</cp:lastModifiedBy>
  <cp:revision>1</cp:revision>
  <dcterms:created xsi:type="dcterms:W3CDTF">2026-10-06T10:25:38.551Z</dcterms:created>
  <dcterms:modified xsi:type="dcterms:W3CDTF">2026-10-06T10:25:38.552Z</dcterms:modified>
</cp:coreProperties>
</file>

<file path=docProps/custom.xml><?xml version="1.0" encoding="utf-8"?>
<Properties xmlns="http://schemas.openxmlformats.org/officeDocument/2006/custom-properties" xmlns:vt="http://schemas.openxmlformats.org/officeDocument/2006/docPropsVTypes"/>
</file>